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</w:pPr>
      <w:r>
        <w:drawing>
          <wp:inline distT="0" distB="0" distL="0" distR="0">
            <wp:extent cx="608838" cy="78752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" cy="787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Название объекта"/>
        <w:rPr>
          <w:sz w:val="40"/>
          <w:szCs w:val="40"/>
        </w:rPr>
      </w:pPr>
      <w:r>
        <w:rPr>
          <w:rtl w:val="0"/>
          <w:lang w:val="ru-RU"/>
        </w:rPr>
        <w:t xml:space="preserve">   </w:t>
      </w:r>
      <w:r>
        <w:rPr>
          <w:caps w:val="1"/>
          <w:sz w:val="40"/>
          <w:szCs w:val="40"/>
          <w:rtl w:val="0"/>
          <w:lang w:val="ru-RU"/>
        </w:rPr>
        <w:t>А Д М И Н И С Т Р А Ц И Я</w:t>
      </w:r>
    </w:p>
    <w:p>
      <w:pPr>
        <w:pStyle w:val="Заголовок 1"/>
      </w:pPr>
      <w:r>
        <w:rPr>
          <w:rtl w:val="0"/>
          <w:lang w:val="ru-RU"/>
        </w:rPr>
        <w:t xml:space="preserve">М А К С А Т И Х И Н С К О Г О   Р А Й О Н А </w:t>
      </w:r>
    </w:p>
    <w:p>
      <w:pPr>
        <w:pStyle w:val="Заголовок 1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tl w:val="0"/>
          <w:lang w:val="ru-RU"/>
        </w:rPr>
        <w:t>Т В Е Р С К О Й  О Б Л А С Т 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line">
                  <wp:posOffset>154939</wp:posOffset>
                </wp:positionV>
                <wp:extent cx="2400300" cy="9144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2.0pt;margin-top:12.2pt;width:189.0pt;height:7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 О С Т А Н О В Л Е Н И Е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tabs>
          <w:tab w:val="left" w:pos="8325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line">
                  <wp:posOffset>90169</wp:posOffset>
                </wp:positionV>
                <wp:extent cx="3429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3.6pt;margin-top:7.1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от </w:t>
      </w:r>
      <w:r>
        <w:rPr>
          <w:sz w:val="24"/>
          <w:szCs w:val="24"/>
          <w:rtl w:val="0"/>
          <w:lang w:val="ru-RU"/>
        </w:rPr>
        <w:t xml:space="preserve">15.02.2021                             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83-</w:t>
      </w:r>
      <w:r>
        <w:rPr>
          <w:sz w:val="24"/>
          <w:szCs w:val="24"/>
          <w:rtl w:val="0"/>
          <w:lang w:val="ru-RU"/>
        </w:rPr>
        <w:t xml:space="preserve">па  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 внесении изменений в муниципальную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программу «Развитие строительного  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комплекса   и жилищного строительства     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 </w:t>
      </w:r>
      <w:r>
        <w:rPr>
          <w:sz w:val="24"/>
          <w:szCs w:val="24"/>
          <w:rtl w:val="0"/>
          <w:lang w:val="ru-RU"/>
        </w:rPr>
        <w:t xml:space="preserve">2020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2025  </w:t>
      </w:r>
      <w:r>
        <w:rPr>
          <w:sz w:val="24"/>
          <w:szCs w:val="24"/>
          <w:rtl w:val="0"/>
          <w:lang w:val="ru-RU"/>
        </w:rPr>
        <w:t>годы»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утвержденную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постановлением администрации Максатихинского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района от </w:t>
      </w:r>
      <w:r>
        <w:rPr>
          <w:sz w:val="24"/>
          <w:szCs w:val="24"/>
          <w:rtl w:val="0"/>
          <w:lang w:val="ru-RU"/>
        </w:rPr>
        <w:t>13.11.2019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506-</w:t>
      </w:r>
      <w:r>
        <w:rPr>
          <w:sz w:val="24"/>
          <w:szCs w:val="24"/>
          <w:rtl w:val="0"/>
          <w:lang w:val="ru-RU"/>
        </w:rPr>
        <w:t>па</w:t>
      </w:r>
    </w:p>
    <w:p>
      <w:pPr>
        <w:pStyle w:val="Обычный"/>
        <w:rPr>
          <w:b w:val="1"/>
          <w:bCs w:val="1"/>
          <w:sz w:val="28"/>
          <w:szCs w:val="28"/>
        </w:rPr>
      </w:pP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связи с уточнением объема бюджетных ассигнований на выполнение мероприятий подпрограмм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 основании Федерального закона № </w:t>
      </w:r>
      <w:r>
        <w:rPr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 xml:space="preserve">ФЗ от </w:t>
      </w:r>
      <w:r>
        <w:rPr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>года «Об общих принципах организации местного самоуправления в Российской Федерации»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статьи </w:t>
      </w:r>
      <w:r>
        <w:rPr>
          <w:sz w:val="24"/>
          <w:szCs w:val="24"/>
          <w:rtl w:val="0"/>
          <w:lang w:val="ru-RU"/>
        </w:rPr>
        <w:t xml:space="preserve">179 </w:t>
      </w:r>
      <w:r>
        <w:rPr>
          <w:sz w:val="24"/>
          <w:szCs w:val="24"/>
          <w:rtl w:val="0"/>
          <w:lang w:val="ru-RU"/>
        </w:rPr>
        <w:t>Бюджетного кодекса РФ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Устава муниципального образования «Максатихинский район»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Устава муниципального образования городское поселение поселок 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постановления администрации Максатихинского района Тверской области от </w:t>
      </w:r>
      <w:r>
        <w:rPr>
          <w:sz w:val="24"/>
          <w:szCs w:val="24"/>
          <w:rtl w:val="0"/>
          <w:lang w:val="ru-RU"/>
        </w:rPr>
        <w:t xml:space="preserve">31.10.2017 </w:t>
      </w:r>
      <w:r>
        <w:rPr>
          <w:sz w:val="24"/>
          <w:szCs w:val="24"/>
          <w:rtl w:val="0"/>
          <w:lang w:val="ru-RU"/>
        </w:rPr>
        <w:t xml:space="preserve">года № </w:t>
      </w:r>
      <w:r>
        <w:rPr>
          <w:sz w:val="24"/>
          <w:szCs w:val="24"/>
          <w:rtl w:val="0"/>
          <w:lang w:val="ru-RU"/>
        </w:rPr>
        <w:t>466-</w:t>
      </w:r>
      <w:r>
        <w:rPr>
          <w:sz w:val="24"/>
          <w:szCs w:val="24"/>
          <w:rtl w:val="0"/>
          <w:lang w:val="ru-RU"/>
        </w:rPr>
        <w:t>па «О порядке принятия решений о разработке муниципальных программ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формирования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реализации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определении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положения  «О бюджетном процессе в муниципальном  образовании городское поселение поселок Максатиха Максатихинского района Тверской области»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утвержденного решением Совета депутатов городского поселения поселок Максатиха от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12.11.2020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109,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администрация Максатихинского района</w:t>
      </w:r>
      <w:r>
        <w:rPr>
          <w:sz w:val="24"/>
          <w:szCs w:val="24"/>
          <w:rtl w:val="0"/>
          <w:lang w:val="ru-RU"/>
        </w:rPr>
        <w:t xml:space="preserve"> Тверской области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ПОСТАНОВЛЯЕТ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Утвердить прилагаемые изменения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вносятся в муниципальную программу городского поселения поселок Максатиха Максатихинского района Тверской области «Развитие строительного комплекса и жилищного строительства на </w:t>
      </w:r>
      <w:r>
        <w:rPr>
          <w:sz w:val="24"/>
          <w:szCs w:val="24"/>
          <w:rtl w:val="0"/>
          <w:lang w:val="ru-RU"/>
        </w:rPr>
        <w:t xml:space="preserve">2020-2025 </w:t>
      </w:r>
      <w:r>
        <w:rPr>
          <w:sz w:val="24"/>
          <w:szCs w:val="24"/>
          <w:rtl w:val="0"/>
          <w:lang w:val="ru-RU"/>
        </w:rPr>
        <w:t>годы»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утвержденную постановлением администрации Максатихинского района от </w:t>
      </w:r>
      <w:r>
        <w:rPr>
          <w:sz w:val="24"/>
          <w:szCs w:val="24"/>
          <w:rtl w:val="0"/>
          <w:lang w:val="ru-RU"/>
        </w:rPr>
        <w:t>13.11.2019</w:t>
      </w:r>
      <w:r>
        <w:rPr>
          <w:sz w:val="24"/>
          <w:szCs w:val="24"/>
          <w:rtl w:val="0"/>
          <w:lang w:val="ru-RU"/>
        </w:rPr>
        <w:t xml:space="preserve">г № </w:t>
      </w:r>
      <w:r>
        <w:rPr>
          <w:sz w:val="24"/>
          <w:szCs w:val="24"/>
          <w:rtl w:val="0"/>
          <w:lang w:val="ru-RU"/>
        </w:rPr>
        <w:t>506-</w:t>
      </w:r>
      <w:r>
        <w:rPr>
          <w:sz w:val="24"/>
          <w:szCs w:val="24"/>
          <w:rtl w:val="0"/>
          <w:lang w:val="ru-RU"/>
        </w:rPr>
        <w:t xml:space="preserve">па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прилагается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Настоящее постановление вступает в силу со дня его подписания и  подлежит размещению на официальном сайте администрации Максатихинского района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3. </w:t>
      </w:r>
      <w:r>
        <w:rPr>
          <w:sz w:val="24"/>
          <w:szCs w:val="24"/>
          <w:rtl w:val="0"/>
          <w:lang w:val="ru-RU"/>
        </w:rPr>
        <w:t>Контроль за исполнением настоящего постановления возложить на начальника управления по территориальному развитию администрации Максатихинского района Тверской области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Глав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 Максатихинского района                                                                                  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Паскин</w:t>
      </w: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Утверждена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постановлением администрации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Максатихинского района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Тверской области 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№ </w:t>
      </w:r>
      <w:r>
        <w:rPr>
          <w:sz w:val="24"/>
          <w:szCs w:val="24"/>
          <w:rtl w:val="0"/>
          <w:lang w:val="ru-RU"/>
        </w:rPr>
        <w:t>83-</w:t>
      </w:r>
      <w:r>
        <w:rPr>
          <w:sz w:val="24"/>
          <w:szCs w:val="24"/>
          <w:rtl w:val="0"/>
          <w:lang w:val="ru-RU"/>
        </w:rPr>
        <w:t xml:space="preserve">па  от </w:t>
      </w:r>
      <w:r>
        <w:rPr>
          <w:sz w:val="24"/>
          <w:szCs w:val="24"/>
          <w:rtl w:val="0"/>
          <w:lang w:val="ru-RU"/>
        </w:rPr>
        <w:t xml:space="preserve">15.02.2021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Без интервала"/>
        <w:ind w:left="5390" w:firstLine="0"/>
        <w:jc w:val="righ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ИЗМЕНЕНИЯ</w:t>
      </w:r>
      <w:r>
        <w:rPr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КОТОРЫЕ ВНОСЯТСЯ В МУНИЦИПАЛЬНУЮ ПРОГРАММУ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городского поселения поселок Максатиха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Максатихинского района Тверской области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«РАЗВИТИЕ СТРОИТЕЛЬНОГО КОМПЛЕКСА И ЖИЛИЩНОГО СТРОИТЕЛЬСТВА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2020-2025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ГОДЫ»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Изложить муниципальную программу  городского поселения поселок Максатиха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Максатихинского района Тверской области «Развитие строительного комплекса и жилищного строительства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2020-2025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годы» в следующей редакции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outline w:val="0"/>
          <w:color w:val="993366"/>
          <w:sz w:val="24"/>
          <w:szCs w:val="24"/>
          <w:u w:color="993366"/>
          <w:rtl w:val="0"/>
          <w:lang w:val="ru-RU"/>
          <w14:textFill>
            <w14:solidFill>
              <w14:srgbClr w14:val="993366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Утверждена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постановлением администрации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Максатихинского района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Тверской области </w:t>
      </w:r>
    </w:p>
    <w:p>
      <w:pPr>
        <w:pStyle w:val="Без интервала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506-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  от «</w:t>
      </w:r>
      <w:r>
        <w:rPr>
          <w:rFonts w:ascii="Times New Roman" w:hAnsi="Times New Roman"/>
          <w:sz w:val="24"/>
          <w:szCs w:val="24"/>
          <w:rtl w:val="0"/>
          <w:lang w:val="ru-RU"/>
        </w:rPr>
        <w:t>13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пгт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Максатиха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2021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>Паспорт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муниципальной программы городского поселения поселок Максатиха</w:t>
      </w:r>
    </w:p>
    <w:p>
      <w:pPr>
        <w:pStyle w:val="Обычный"/>
        <w:ind w:firstLine="540"/>
        <w:jc w:val="both"/>
        <w:rPr>
          <w:sz w:val="24"/>
          <w:szCs w:val="24"/>
        </w:rPr>
      </w:pPr>
    </w:p>
    <w:tbl>
      <w:tblPr>
        <w:tblW w:w="94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3"/>
        <w:gridCol w:w="5746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4"/>
                <w:szCs w:val="24"/>
                <w:rtl w:val="0"/>
                <w:lang w:val="ru-RU"/>
              </w:rPr>
              <w:t xml:space="preserve">Наименование программы 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Муниципальная программа городского поселения поселок Максатиха «Развитие строительного комплекса и жилищного строительства» на </w:t>
            </w:r>
            <w:r>
              <w:rPr>
                <w:sz w:val="24"/>
                <w:szCs w:val="24"/>
                <w:rtl w:val="0"/>
                <w:lang w:val="ru-RU"/>
              </w:rPr>
              <w:t>2020 -</w:t>
            </w:r>
            <w:r>
              <w:rPr>
                <w:sz w:val="24"/>
                <w:szCs w:val="24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rtl w:val="0"/>
                <w:lang w:val="ru-RU"/>
              </w:rPr>
              <w:t xml:space="preserve">2025 </w:t>
            </w:r>
            <w:r>
              <w:rPr>
                <w:sz w:val="24"/>
                <w:szCs w:val="24"/>
                <w:rtl w:val="0"/>
                <w:lang w:val="ru-RU"/>
              </w:rPr>
              <w:t xml:space="preserve">годы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далее – муниципальная программа</w:t>
            </w:r>
            <w:r>
              <w:rPr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4"/>
                <w:szCs w:val="24"/>
                <w:rtl w:val="0"/>
                <w:lang w:val="ru-RU"/>
              </w:rPr>
              <w:t xml:space="preserve">Главный администратор программы 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Администрация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4"/>
                <w:szCs w:val="24"/>
                <w:rtl w:val="0"/>
                <w:lang w:val="ru-RU"/>
              </w:rPr>
              <w:t xml:space="preserve">Администратор  программы 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Управление по территориальному развитию администрации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4"/>
                <w:szCs w:val="24"/>
                <w:rtl w:val="0"/>
                <w:lang w:val="ru-RU"/>
              </w:rPr>
              <w:t>Срок реализации программы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2020</w:t>
            </w:r>
            <w:r>
              <w:rPr>
                <w:sz w:val="24"/>
                <w:szCs w:val="24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rtl w:val="0"/>
                <w:lang w:val="ru-RU"/>
              </w:rPr>
              <w:t xml:space="preserve">2025 </w:t>
            </w:r>
            <w:r>
              <w:rPr>
                <w:sz w:val="24"/>
                <w:szCs w:val="24"/>
                <w:rtl w:val="0"/>
                <w:lang w:val="ru-RU"/>
              </w:rPr>
              <w:t>годы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Цели программы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Цель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«Создание благоприятных условий под ИЖС для многодетных семей»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Цель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«Содействие развитию строительного комплекса городского поселения поселок Максатиха»</w:t>
            </w:r>
          </w:p>
        </w:tc>
      </w:tr>
      <w:tr>
        <w:tblPrEx>
          <w:shd w:val="clear" w:color="auto" w:fill="ced7e7"/>
        </w:tblPrEx>
        <w:trPr>
          <w:trHeight w:val="3305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Подпрограммы 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«Строительство инфраструктуры под земельные участки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выделенные многодетным семьям»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 xml:space="preserve">далее – подпрограмма </w:t>
            </w:r>
            <w:r>
              <w:rPr>
                <w:sz w:val="24"/>
                <w:szCs w:val="24"/>
                <w:rtl w:val="0"/>
                <w:lang w:val="ru-RU"/>
              </w:rPr>
              <w:t>1)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sz w:val="24"/>
                <w:szCs w:val="24"/>
                <w:rtl w:val="0"/>
                <w:lang w:val="ru-RU"/>
              </w:rPr>
              <w:t xml:space="preserve">2  </w:t>
            </w:r>
            <w:r>
              <w:rPr>
                <w:sz w:val="24"/>
                <w:szCs w:val="24"/>
                <w:rtl w:val="0"/>
                <w:lang w:val="ru-RU"/>
              </w:rPr>
              <w:t>«Проведение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исследовательских работ в области градостроительства на территории пгт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Максатиха»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 xml:space="preserve">далее </w:t>
            </w:r>
            <w:r>
              <w:rPr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sz w:val="24"/>
                <w:szCs w:val="24"/>
                <w:rtl w:val="0"/>
                <w:lang w:val="ru-RU"/>
              </w:rPr>
              <w:t>2)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««Переселение граждан из аварийного жилищного фонда на территории городского поселения пгт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Максатиха Максатихинского района Тверской области»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Ожидаемые результаты реализации программы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hd w:val="clear" w:color="auto" w:fill="ffffff"/>
              <w:ind w:firstLine="3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Создание условий для повышения уровня обеспеченности жильем многодетных семей </w:t>
            </w:r>
            <w:r>
              <w:rPr>
                <w:sz w:val="24"/>
                <w:szCs w:val="24"/>
                <w:rtl w:val="0"/>
                <w:lang w:val="ru-RU"/>
              </w:rPr>
              <w:t>100%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Ежегодный прирост объемов производства строительных материалов и конструкций                    до </w:t>
            </w:r>
            <w:r>
              <w:rPr>
                <w:sz w:val="24"/>
                <w:szCs w:val="24"/>
                <w:rtl w:val="0"/>
                <w:lang w:val="ru-RU"/>
              </w:rPr>
              <w:t>2,5 %.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Ежегодный прирост объемов работ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выполненных по отрасли «строительство» до  </w:t>
            </w:r>
            <w:r>
              <w:rPr>
                <w:sz w:val="24"/>
                <w:szCs w:val="24"/>
                <w:rtl w:val="0"/>
                <w:lang w:val="ru-RU"/>
              </w:rPr>
              <w:t>3</w:t>
            </w:r>
            <w:r>
              <w:rPr>
                <w:sz w:val="24"/>
                <w:szCs w:val="24"/>
                <w:rtl w:val="0"/>
                <w:lang w:val="ru-RU"/>
              </w:rPr>
              <w:t> </w:t>
            </w:r>
            <w:r>
              <w:rPr>
                <w:sz w:val="24"/>
                <w:szCs w:val="24"/>
                <w:rtl w:val="0"/>
                <w:lang w:val="ru-RU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10502" w:hRule="atLeast"/>
        </w:trPr>
        <w:tc>
          <w:tcPr>
            <w:tcW w:type="dxa" w:w="36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Объемы и источники финансирования программы по годам ее реализации в разрезе подпрограмм </w:t>
            </w:r>
          </w:p>
        </w:tc>
        <w:tc>
          <w:tcPr>
            <w:tcW w:type="dxa" w:w="5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Общий объем финансирования государственной программы на </w:t>
            </w:r>
            <w:r>
              <w:rPr>
                <w:sz w:val="24"/>
                <w:szCs w:val="24"/>
                <w:rtl w:val="0"/>
                <w:lang w:val="ru-RU"/>
              </w:rPr>
              <w:t xml:space="preserve">2020 - 2025 </w:t>
            </w:r>
            <w:r>
              <w:rPr>
                <w:sz w:val="24"/>
                <w:szCs w:val="24"/>
                <w:rtl w:val="0"/>
                <w:lang w:val="ru-RU"/>
              </w:rPr>
              <w:t xml:space="preserve">годы – </w:t>
            </w:r>
            <w:r>
              <w:rPr>
                <w:sz w:val="24"/>
                <w:szCs w:val="24"/>
                <w:rtl w:val="0"/>
                <w:lang w:val="ru-RU"/>
              </w:rPr>
              <w:t xml:space="preserve">1280,0 </w:t>
            </w:r>
            <w:r>
              <w:rPr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sz w:val="24"/>
                <w:szCs w:val="24"/>
                <w:rtl w:val="0"/>
                <w:lang w:val="ru-RU"/>
              </w:rPr>
              <w:t>в том числе за счет средств бюджета городского поселения пгт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 xml:space="preserve">Максатиха Максатихинского района Тверской области </w:t>
            </w:r>
            <w:r>
              <w:rPr>
                <w:sz w:val="24"/>
                <w:szCs w:val="24"/>
                <w:rtl w:val="0"/>
                <w:lang w:val="ru-RU"/>
              </w:rPr>
              <w:t xml:space="preserve">310,05 </w:t>
            </w:r>
            <w:r>
              <w:rPr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30,05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.; 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2 -  30,05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Cell"/>
              <w:widowControl w:val="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20,0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2 -  20,0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Cell"/>
              <w:widowControl w:val="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30,0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2 -  30,0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3 -0,0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Cell"/>
              <w:widowControl w:val="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2023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30,0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2 - 30,0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3 -0,0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Cell"/>
              <w:widowControl w:val="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2024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100,0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2 -  100,0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3 -0,0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Cell"/>
              <w:widowControl w:val="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2025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u w:val="single"/>
                <w:rtl w:val="0"/>
                <w:lang w:val="ru-RU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ru-RU"/>
              </w:rPr>
              <w:t>100,0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2 -  100,0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.;</w:t>
            </w:r>
          </w:p>
          <w:p>
            <w:pPr>
              <w:pStyle w:val="ConsPlusCell"/>
              <w:widowControl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3 - 0,0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jc w:val="both"/>
        <w:rPr>
          <w:sz w:val="24"/>
          <w:szCs w:val="24"/>
        </w:rPr>
      </w:pPr>
    </w:p>
    <w:p>
      <w:pPr>
        <w:pStyle w:val="Обычный"/>
        <w:shd w:val="clear" w:color="auto" w:fill="ffffff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Раздел </w:t>
      </w:r>
      <w:r>
        <w:rPr>
          <w:sz w:val="24"/>
          <w:szCs w:val="24"/>
          <w:rtl w:val="0"/>
          <w:lang w:val="en-US"/>
        </w:rPr>
        <w:t>I</w:t>
      </w: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Общая характеристика сферы реализации муниципальной программы</w:t>
      </w:r>
    </w:p>
    <w:p>
      <w:pPr>
        <w:pStyle w:val="Обычный"/>
        <w:ind w:firstLine="540"/>
        <w:jc w:val="both"/>
        <w:rPr>
          <w:sz w:val="24"/>
          <w:szCs w:val="24"/>
        </w:rPr>
      </w:pP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Задачи и мероприятия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реализуемые в муниципальной программе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направлены на создание условий для увеличения объемов жилищного строительства в городском поселении поселок Максатиха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создание условий для развития строительного комплекса и предприятий промышленности строительных материалов и строительной индустрии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Жилищная проблема в городском поселении поселок Максатиха Максатихинского района Тверской области остается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прежнему острой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ее решение – актуальным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 последнее десятилетие кардинально изменилась структура жилищного фонда по формам собственности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Сегодня сформированы предпосылки для решения жилищного вопроса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сформирована нормативная правовая база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являющаяся основой регулирования вопросов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связанных с жилищным строительством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обеспечением прав собственности в жилищной сфере в условиях развивающихся рыночных отношений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созданы правовые условия для развития институтов долгосрочного кредитования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Имеющиеся мощности предприятий стройиндустрии по выпуску основных строительных материалов и конструкций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теплополиблоков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изделий деревообработки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основном обеспечивают потребности в строительстве запланированного жилья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 прошедшие годы наметилась тенденция по увеличению малоэтажного жилищного строительства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непосредственно отвечает интересам и потребностям жителей в городском поселении поселок Максатиха Максатихинского района Тверской области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Сделать жилье для граждан России доступным – одно из важнейших направлений приоритетного национального проекта «Жилье и городская среда»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Концепцией долгосрочного 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экономического развития Российской Федерации на период до </w:t>
      </w:r>
      <w:r>
        <w:rPr>
          <w:sz w:val="24"/>
          <w:szCs w:val="24"/>
          <w:rtl w:val="0"/>
          <w:lang w:val="ru-RU"/>
        </w:rPr>
        <w:t xml:space="preserve">2024 </w:t>
      </w:r>
      <w:r>
        <w:rPr>
          <w:sz w:val="24"/>
          <w:szCs w:val="24"/>
          <w:rtl w:val="0"/>
          <w:lang w:val="ru-RU"/>
        </w:rPr>
        <w:t>года предусмотрена реализация программ по предоставлению доступного жилья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Решение задачи возможно при создании условий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 которых граждане смогут самостоятельно решать свои жилищные вопросы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 частности с помощью различных ипотечных программ</w:t>
      </w:r>
      <w:r>
        <w:rPr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ind w:firstLine="720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Основные проблемы в сфере строительного комплекса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В то же время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несмотря на определенные успехи в отрасли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существует ряд проблем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частности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Одной из основных задач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решение которой направлено на снижение стоимости одного квадратного метра жилья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является обеспечение земельных участков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выделенных под малоэтажное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жилищное строительство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инженерной инфраструктурой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важной составляющей развития жилищного строительства является формирование рынка доступного арендного жилья и развитие некоммерческого жилищного фонда для граждан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имеющих невысокий уровень дохода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остается актуальным вопрос обеспечения жильем отдельных категорий граждан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федеральным законодательством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высокая степень износа основных фондов предприятий строительной промышленности повышает себестоимость выпускаемой продукции и делает ее менее конкурентоспособной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Раздел </w:t>
      </w:r>
      <w:r>
        <w:rPr>
          <w:sz w:val="24"/>
          <w:szCs w:val="24"/>
          <w:rtl w:val="0"/>
          <w:lang w:val="en-US"/>
        </w:rPr>
        <w:t>II</w:t>
      </w: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Цели муниципальной программы</w:t>
      </w:r>
    </w:p>
    <w:p>
      <w:pPr>
        <w:pStyle w:val="Обычный"/>
        <w:shd w:val="clear" w:color="auto" w:fill="ffffff"/>
        <w:jc w:val="center"/>
        <w:outlineLvl w:val="1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Муниципальная программа направлена на достижение следующих целей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цель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«Создание благоприятных условий под ИЖС для многодетных семей»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цель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«Содействие развитию строительного комплекса Максатихинского района»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Показателями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характеризующими достижение цели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«Создание благоприятных условий под ИЖС для многодетных семей»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являются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увеличение количества подъездных дорог к земельным участкам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выделенным в собственность семьи гражданам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имеющим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и более детей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обеспечение участков всей необходимой под строительство инфраструктурой 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Показателями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характеризующими достижение цели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«Содействие развитию строительного комплекса городского поселения поселок Максатиха» являются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ежегодный прирост объемов производства строительных материалов и конструкций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увеличение объемов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выполненных по отрасли «Строительство»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8. </w:t>
      </w:r>
      <w:r>
        <w:rPr>
          <w:sz w:val="24"/>
          <w:szCs w:val="24"/>
          <w:rtl w:val="0"/>
          <w:lang w:val="ru-RU"/>
        </w:rPr>
        <w:t xml:space="preserve">Значения показателей целей муниципальной программы по годам ее реализации приведены в приложении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настоящей муниципальной программе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851"/>
        <w:jc w:val="both"/>
        <w:rPr>
          <w:sz w:val="24"/>
          <w:szCs w:val="24"/>
        </w:rPr>
      </w:pPr>
    </w:p>
    <w:p>
      <w:pPr>
        <w:pStyle w:val="Обычный"/>
        <w:ind w:firstLine="1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Раздел </w:t>
      </w:r>
      <w:r>
        <w:rPr>
          <w:sz w:val="24"/>
          <w:szCs w:val="24"/>
          <w:rtl w:val="0"/>
          <w:lang w:val="en-US"/>
        </w:rPr>
        <w:t>III</w:t>
      </w:r>
    </w:p>
    <w:p>
      <w:pPr>
        <w:pStyle w:val="Обычный"/>
        <w:ind w:firstLine="1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Подпрограммы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9. </w:t>
      </w:r>
      <w:r>
        <w:rPr>
          <w:sz w:val="24"/>
          <w:szCs w:val="24"/>
          <w:rtl w:val="0"/>
          <w:lang w:val="ru-RU"/>
        </w:rPr>
        <w:t>Реализация муниципальной программы связана с выполнением следующих подпрограмм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подпрограмма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подпрограмма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</w:t>
      </w:r>
      <w:r>
        <w:rPr>
          <w:sz w:val="24"/>
          <w:szCs w:val="24"/>
          <w:rtl w:val="0"/>
          <w:lang w:val="ru-RU"/>
        </w:rPr>
        <w:t xml:space="preserve">подпрограмма  </w:t>
      </w:r>
      <w:r>
        <w:rPr>
          <w:sz w:val="24"/>
          <w:szCs w:val="24"/>
          <w:rtl w:val="0"/>
          <w:lang w:val="ru-RU"/>
        </w:rPr>
        <w:t xml:space="preserve">3  </w:t>
      </w:r>
      <w:r>
        <w:rPr>
          <w:sz w:val="24"/>
          <w:szCs w:val="24"/>
          <w:rtl w:val="0"/>
          <w:lang w:val="ru-RU"/>
        </w:rPr>
        <w:t>««Переселение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 Максатихинского района Тверской области»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Подраздел </w:t>
      </w:r>
      <w:r>
        <w:rPr>
          <w:sz w:val="24"/>
          <w:szCs w:val="24"/>
          <w:rtl w:val="0"/>
          <w:lang w:val="en-US"/>
        </w:rPr>
        <w:t>I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Подпрограмма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Задачи подпрограммы</w:t>
      </w:r>
    </w:p>
    <w:p>
      <w:pPr>
        <w:pStyle w:val="Обычный"/>
        <w:tabs>
          <w:tab w:val="left" w:pos="2880"/>
        </w:tabs>
        <w:ind w:firstLine="540"/>
        <w:jc w:val="center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10. </w:t>
      </w:r>
      <w:r>
        <w:rPr>
          <w:sz w:val="24"/>
          <w:szCs w:val="24"/>
          <w:rtl w:val="0"/>
          <w:lang w:val="ru-RU"/>
        </w:rPr>
        <w:t xml:space="preserve">Реализация подпрограммы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  связано с решением следующих задач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задача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«Развитие инфраструктуры под ИЖС многодетных семей»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задача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«Создание условий для увеличения объемов жилищного строительства»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11.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«Развитие инфраструктуры под ИЖС многодетных семей» оценивается с помощью показателя – доля вновь созданной инфраструктуры в текущем финансовом году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«Создание условий для увеличения объемов жилищного строительства» оценивается с помощью следующих показателей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  </w:t>
      </w:r>
      <w:r>
        <w:rPr>
          <w:sz w:val="24"/>
          <w:szCs w:val="24"/>
          <w:rtl w:val="0"/>
          <w:lang w:val="ru-RU"/>
        </w:rPr>
        <w:t>количество подготовленных площадок под ИЖС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  </w:t>
      </w:r>
      <w:r>
        <w:rPr>
          <w:sz w:val="24"/>
          <w:szCs w:val="24"/>
          <w:rtl w:val="0"/>
          <w:lang w:val="ru-RU"/>
        </w:rPr>
        <w:t>количество объектов на которых проведено строительство ИЖС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13. </w:t>
      </w:r>
      <w:r>
        <w:rPr>
          <w:sz w:val="24"/>
          <w:szCs w:val="24"/>
          <w:rtl w:val="0"/>
          <w:lang w:val="ru-RU"/>
        </w:rPr>
        <w:t xml:space="preserve">Значения показателей задач подпрограммы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выделенные многодетным семьям» по годам реализации муниципальной программы приведены в приложении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настоящей муниципальной программе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2880"/>
        </w:tabs>
        <w:ind w:firstLine="708"/>
        <w:jc w:val="both"/>
        <w:rPr>
          <w:sz w:val="24"/>
          <w:szCs w:val="24"/>
          <w:u w:val="single"/>
        </w:rPr>
      </w:pP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 xml:space="preserve">Мероприятия подпрограммы 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14.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«Развитие инфраструктуры под ИЖС многодетных семей» осуществляется посредством выполнения следующих административных мероприятий и мероприятий подпрограммы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мероприятие «Создание инфраструктуры под ИЖС на </w:t>
      </w:r>
      <w:r>
        <w:rPr>
          <w:sz w:val="24"/>
          <w:szCs w:val="24"/>
          <w:rtl w:val="0"/>
          <w:lang w:val="ru-RU"/>
        </w:rPr>
        <w:t xml:space="preserve">130 </w:t>
      </w:r>
      <w:r>
        <w:rPr>
          <w:sz w:val="24"/>
          <w:szCs w:val="24"/>
          <w:rtl w:val="0"/>
          <w:lang w:val="ru-RU"/>
        </w:rPr>
        <w:t xml:space="preserve">земельных участках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строительство водопроводов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дорог и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.); 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мероприятие «Создание проектной документации инфраструктуры под ИЖС»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мероприятие «Подготовка плана планировки территории для размещения инженерных коммуникаций по объекту «Комплексная инженерная подготовка на </w:t>
      </w:r>
      <w:r>
        <w:rPr>
          <w:sz w:val="24"/>
          <w:szCs w:val="24"/>
          <w:rtl w:val="0"/>
          <w:lang w:val="ru-RU"/>
        </w:rPr>
        <w:t xml:space="preserve">32 </w:t>
      </w:r>
      <w:r>
        <w:rPr>
          <w:sz w:val="24"/>
          <w:szCs w:val="24"/>
          <w:rtl w:val="0"/>
          <w:lang w:val="ru-RU"/>
        </w:rPr>
        <w:t>участка выделенных многодетным семьям в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Максатиха»»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15.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 xml:space="preserve">«Создание условий для увеличения объемов жилищного строительства» осуществляется посредством выполнения следующих административных мероприятий подпрограммы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мероприятие «Реализация программ капитального строительства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реконструкции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реставрации объектов муниципальной собственности городского поселения поселок Максатиха»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мероприятие «Реализация программ капитального ремонта объектов муниципальной собственности городского поселения поселок Максатиха»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16. </w:t>
      </w:r>
      <w:r>
        <w:rPr>
          <w:sz w:val="24"/>
          <w:szCs w:val="24"/>
          <w:rtl w:val="0"/>
          <w:lang w:val="ru-RU"/>
        </w:rPr>
        <w:t xml:space="preserve">Выполнение каждого административного мероприятия и мероприятия подпрограммы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 оценивается с помощью показателей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перечень которых и их значения по годам реализации муниципальной программы приведены в приложении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настоящей муниципальной программе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Подраздел </w:t>
      </w:r>
      <w:r>
        <w:rPr>
          <w:sz w:val="24"/>
          <w:szCs w:val="24"/>
          <w:rtl w:val="0"/>
          <w:lang w:val="en-US"/>
        </w:rPr>
        <w:t>II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Подпрограмма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Задачи подпрограммы 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17. </w:t>
      </w:r>
      <w:r>
        <w:rPr>
          <w:sz w:val="24"/>
          <w:szCs w:val="24"/>
          <w:rtl w:val="0"/>
          <w:lang w:val="ru-RU"/>
        </w:rPr>
        <w:t xml:space="preserve">Реализация подпрограммы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 связано с решением следующих задач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задача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«Анализ подготовительной информации для реализации ЦКО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генплана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ПЗЗ»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задача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«Реализация ЦКО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генплана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ПЗЗ»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18.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«Анализ подготовительной информации для реализации ЦКО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генплана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ПЗЗ» оценивается с помощью показателя – доля выполненных работ по отношению к общему количеству работ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19.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«Реализация ЦКО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генплана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ПЗЗ» оценивается с помощью показателя – доля выполненных работ по отношению к общему количеству работ по генплану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20. </w:t>
      </w:r>
      <w:r>
        <w:rPr>
          <w:sz w:val="24"/>
          <w:szCs w:val="24"/>
          <w:rtl w:val="0"/>
          <w:lang w:val="ru-RU"/>
        </w:rPr>
        <w:t xml:space="preserve">Значения показателей задач подпрограммы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Максатиха» по годам реализации муниципальной программы приведены в приложении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настоящей муниципальной программе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 xml:space="preserve">Мероприятия подпрограммы 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21.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«Анализ подготовительной информации для реализации ЦКО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генплана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ПЗЗ» осуществляется посредством выполнения следующих административных мероприятий подпрограммы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административное  мероприятие «Сбор статистических данных и визуальный осмотр местности»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административное  мероприятие «Сбор данных для создания ЦКО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генплана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ПЗЗ»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22.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««Реализация ЦКО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генплана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ПЗЗ» осуществляется посредством выполнения следующих мероприятий подпрограммы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мероприятие «Выполнение работ по созданию топографического плана и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исследовательские проектные работы по разработке генерального плана и правил землепользования и застройки городского поселения поселок Максатиха Тверской области»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административное мероприятие «Систематизация и контроль за проведением  работ»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  </w:t>
      </w:r>
      <w:r>
        <w:rPr>
          <w:sz w:val="24"/>
          <w:szCs w:val="24"/>
          <w:rtl w:val="0"/>
          <w:lang w:val="ru-RU"/>
        </w:rPr>
        <w:t>мероприятие «Подготовка картопланов на территории 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мероприятие «Подготовка градостроительных планов земельных участков»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23. </w:t>
      </w:r>
      <w:r>
        <w:rPr>
          <w:sz w:val="24"/>
          <w:szCs w:val="24"/>
          <w:rtl w:val="0"/>
          <w:lang w:val="ru-RU"/>
        </w:rPr>
        <w:t xml:space="preserve">Выполнение каждого административного мероприятия и мероприятия подпрограммы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 оценивается с помощью показателей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перечень которых и их значения по годам реализации муниципальной программы приведены в приложении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настоящей муниципальной программе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center"/>
        <w:rPr>
          <w:sz w:val="24"/>
          <w:szCs w:val="24"/>
        </w:rPr>
      </w:pPr>
    </w:p>
    <w:p>
      <w:pPr>
        <w:pStyle w:val="Обычный"/>
        <w:ind w:firstLine="709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Подраздел </w:t>
      </w:r>
      <w:r>
        <w:rPr>
          <w:sz w:val="24"/>
          <w:szCs w:val="24"/>
          <w:rtl w:val="0"/>
          <w:lang w:val="en-US"/>
        </w:rPr>
        <w:t>III</w:t>
      </w:r>
    </w:p>
    <w:p>
      <w:pPr>
        <w:pStyle w:val="Обычный"/>
        <w:ind w:firstLine="709"/>
        <w:jc w:val="center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Подпрограмма </w:t>
      </w:r>
      <w:r>
        <w:rPr>
          <w:sz w:val="24"/>
          <w:szCs w:val="24"/>
          <w:rtl w:val="0"/>
          <w:lang w:val="ru-RU"/>
        </w:rPr>
        <w:t xml:space="preserve">3  </w:t>
      </w:r>
      <w:r>
        <w:rPr>
          <w:sz w:val="24"/>
          <w:szCs w:val="24"/>
          <w:rtl w:val="0"/>
          <w:lang w:val="ru-RU"/>
        </w:rPr>
        <w:t>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 Максатихинского района Тверской области»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Задачи подпрограммы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24. </w:t>
      </w:r>
      <w:r>
        <w:rPr>
          <w:sz w:val="24"/>
          <w:szCs w:val="24"/>
          <w:rtl w:val="0"/>
          <w:lang w:val="ru-RU"/>
        </w:rPr>
        <w:t xml:space="preserve">Реализация подпрограммы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 Максатихинского района Тверской области» связано с решением следующих задач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Задача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«Повышение уровня обеспеченности жильем соответствующих категорий населения за счет строительства жилья для государственных и муниципальных нужд»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Задача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 xml:space="preserve">«Повышение уровня обеспеченности жильем населения за счет малоэтажного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индивидуального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жилищного строительства»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25.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«Повышение уровня обеспеченности жильем соответствующих категорий населения за счет строительства жилья для государственных и муниципальных нужд» оценивается с помощью следующих показателей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общая площадь жилых помещений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построенных для переселения граждан из аварийного и ветхого жилья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количество граждан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муниципальным законодательством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улучшивших жилищные условия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 xml:space="preserve">«Повышение уровня обеспеченности жильем населения за счет малоэтажного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индивидуального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жилищного строительства» оценивается с помощью показателя – доля малоэтажного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индивидуального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жилья в общем объеме введенного жилья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26. </w:t>
      </w:r>
      <w:r>
        <w:rPr>
          <w:sz w:val="24"/>
          <w:szCs w:val="24"/>
          <w:rtl w:val="0"/>
          <w:lang w:val="ru-RU"/>
        </w:rPr>
        <w:t xml:space="preserve">Значения показателей задач подпрограммы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Максатиха Максатихинского района Тверской области» по годам реализации муниципальной программы приведены в приложении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настоящей муниципальной программе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 xml:space="preserve">Мероприятия подпрограммы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27.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«Повышение уровня обеспеченности жильем соответствующих категорий населения за счет строительства жилья для государственных и муниципальных нужд» осуществляется посредством выполнения следующего мероприятия подпрограммы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 Максатихинского района Тверской области»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мероприятие «Строительство жилого дома в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мероприятие «Дополнительные средства из бюджета на улучшение условий граждан»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28. </w:t>
      </w:r>
      <w:r>
        <w:rPr>
          <w:sz w:val="24"/>
          <w:szCs w:val="24"/>
          <w:rtl w:val="0"/>
          <w:lang w:val="ru-RU"/>
        </w:rPr>
        <w:t xml:space="preserve">Решение задачи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 xml:space="preserve">«Повышение уровня обеспеченности жильем населения за счет малоэтажного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индивидуального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жилищного строительства» осуществляется посредством выполнения следующих административных мероприятий подпрограммы </w:t>
      </w:r>
      <w:r>
        <w:rPr>
          <w:sz w:val="24"/>
          <w:szCs w:val="24"/>
          <w:rtl w:val="0"/>
          <w:lang w:val="ru-RU"/>
        </w:rPr>
        <w:t>1: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мероприятие «Обеспечение земельных участков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выделенных под малоэтажное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жилищное строительство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инженерной инфраструктурой»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административное мероприятие «Внедрение в малоэтажном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индивидуальном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жилищном строительстве современных технологий и конструкций»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административное мероприятие «Повышение доступности жилья для граждан»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29. </w:t>
      </w:r>
      <w:r>
        <w:rPr>
          <w:sz w:val="24"/>
          <w:szCs w:val="24"/>
          <w:rtl w:val="0"/>
          <w:lang w:val="ru-RU"/>
        </w:rPr>
        <w:t xml:space="preserve">Выполнение каждого административного мероприятия и мероприятия подпрограммы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 Максатихинского района Тверской области» оценивается с помощью показателей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перечень которых и их значения по годам реализации муниципальной программы приведены в приложении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к настоящей муниципальной программе»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Объем финансовых ресурсов</w:t>
      </w:r>
      <w:r>
        <w:rPr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необходимый для реализации подпрограммы </w:t>
      </w:r>
    </w:p>
    <w:p>
      <w:pPr>
        <w:pStyle w:val="Обычный"/>
        <w:ind w:firstLine="567"/>
        <w:jc w:val="both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30. </w:t>
      </w:r>
      <w:r>
        <w:rPr>
          <w:sz w:val="24"/>
          <w:szCs w:val="24"/>
          <w:rtl w:val="0"/>
          <w:lang w:val="ru-RU"/>
        </w:rPr>
        <w:t>Общий объем бюджетных ассигнований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выделенный на реализацию подпрограммы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подпрограммы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подпрограммы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Максатиха Максатихинского района Тверской области» составляет </w:t>
      </w:r>
      <w:r>
        <w:rPr>
          <w:sz w:val="24"/>
          <w:szCs w:val="24"/>
          <w:rtl w:val="0"/>
          <w:lang w:val="ru-RU"/>
        </w:rPr>
        <w:t xml:space="preserve">310,05 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руб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31. </w:t>
      </w:r>
      <w:r>
        <w:rPr>
          <w:sz w:val="24"/>
          <w:szCs w:val="24"/>
          <w:rtl w:val="0"/>
          <w:lang w:val="ru-RU"/>
        </w:rPr>
        <w:t>Объем бюджетных ассигнований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выделенный на реализацию подпрограммы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>«Строительство инфраструктуры под земельные участки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выделенные многодетным семьям»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подпрограммы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>«Проведение научно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исследовательских работ в области градостроительства на территории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подпрограммы </w:t>
      </w:r>
      <w:r>
        <w:rPr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«Переселение граждан из аварийного жилищного фонда на территории городского поселения 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Максатиха Максатихинского района Тверской области» по годам реализации муниципальной программы в разрезе задач приведен в таблице </w:t>
      </w:r>
      <w:r>
        <w:rPr>
          <w:sz w:val="24"/>
          <w:szCs w:val="24"/>
          <w:rtl w:val="0"/>
          <w:lang w:val="ru-RU"/>
        </w:rPr>
        <w:t>1.</w:t>
      </w:r>
    </w:p>
    <w:p>
      <w:pPr>
        <w:pStyle w:val="Обычный"/>
        <w:ind w:firstLine="708"/>
        <w:jc w:val="both"/>
        <w:rPr>
          <w:sz w:val="24"/>
          <w:szCs w:val="24"/>
        </w:rPr>
      </w:pPr>
    </w:p>
    <w:p>
      <w:pPr>
        <w:pStyle w:val="Обычный"/>
        <w:sectPr>
          <w:headerReference w:type="default" r:id="rId5"/>
          <w:footerReference w:type="default" r:id="rId6"/>
          <w:pgSz w:w="11900" w:h="16840" w:orient="portrait"/>
          <w:pgMar w:top="1135" w:right="851" w:bottom="709" w:left="1701" w:header="720" w:footer="720"/>
          <w:bidi w:val="0"/>
        </w:sectPr>
      </w:pPr>
    </w:p>
    <w:p>
      <w:pPr>
        <w:pStyle w:val="Обычный"/>
        <w:ind w:firstLine="425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Таблица </w:t>
      </w:r>
      <w:r>
        <w:rPr>
          <w:sz w:val="24"/>
          <w:szCs w:val="24"/>
          <w:rtl w:val="0"/>
          <w:lang w:val="ru-RU"/>
        </w:rPr>
        <w:t>1</w:t>
      </w:r>
    </w:p>
    <w:tbl>
      <w:tblPr>
        <w:tblW w:w="963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7"/>
        <w:gridCol w:w="1304"/>
        <w:gridCol w:w="1216"/>
        <w:gridCol w:w="1408"/>
        <w:gridCol w:w="1027"/>
        <w:gridCol w:w="1385"/>
        <w:gridCol w:w="1414"/>
        <w:gridCol w:w="931"/>
      </w:tblGrid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9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Годы реализации  программы</w:t>
            </w:r>
          </w:p>
        </w:tc>
        <w:tc>
          <w:tcPr>
            <w:tcW w:type="dxa" w:w="25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Объем бюджетных ассигнований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выделенный на реализацию подпрограммы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«Строительство инфраструктуры под земельные участки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выделенные многодетным семьям»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Объем бюджетных ассигнований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выделенный на реализацию подпрограммы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«Проведение научно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исследовательских работ в области градостроительства на территории пгт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Максатиха»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7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Объем бюджетных ассигнований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выделенный на реализацию подпрограммы </w:t>
            </w: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«Переселение граждан из аварийного жилищного фонда на территории городского поселения пгт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Максатиха Максатихинского района Тверской области»тыс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Итого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9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Задача 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«Развитие инфраструктуры под ИЖС многодетных семей»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Задача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«Создание условий для увеличения объемов жилищного строительства»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Задача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«Анализ подготовительной информации для реализации ЦКО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генплана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ПЗЗ»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Задача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«Реализация ЦКО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генплана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ПЗЗ»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Задача </w:t>
            </w: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«Повышение уровня обеспеченности жильем соответствующих категорий населения за счет строительства жилья для государственных и муниципальных нужд»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Задачи </w:t>
            </w: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 xml:space="preserve">«Повышение уровня обеспеченности жильем населения за счет малоэтажного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индивидуального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жилищного строительства»</w:t>
            </w:r>
          </w:p>
        </w:tc>
        <w:tc>
          <w:tcPr>
            <w:tcW w:type="dxa" w:w="9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2020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30,05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30,05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2021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20,0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20,0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2022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30,0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2023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30,0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2024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100,0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2025 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100,0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Всего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руб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310,05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0,0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310,05</w:t>
            </w:r>
          </w:p>
        </w:tc>
      </w:tr>
    </w:tbl>
    <w:p>
      <w:pPr>
        <w:pStyle w:val="Обычный"/>
        <w:widowControl w:val="0"/>
        <w:jc w:val="right"/>
        <w:rPr>
          <w:sz w:val="24"/>
          <w:szCs w:val="24"/>
        </w:rPr>
      </w:pPr>
    </w:p>
    <w:p>
      <w:pPr>
        <w:pStyle w:val="Обычный"/>
        <w:jc w:val="both"/>
      </w:pPr>
      <w:r>
        <w:rPr>
          <w:sz w:val="24"/>
          <w:szCs w:val="24"/>
        </w:rPr>
      </w:r>
    </w:p>
    <w:sectPr>
      <w:headerReference w:type="default" r:id="rId7"/>
      <w:pgSz w:w="11900" w:h="16840" w:orient="portrait"/>
      <w:pgMar w:top="1701" w:right="1134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Cell">
    <w:name w:val="ConsPlusCell"/>
    <w:next w:val="ConsPlusCel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