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62" w:rsidRDefault="0059779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6093460</wp:posOffset>
                </wp:positionH>
                <wp:positionV relativeFrom="page">
                  <wp:posOffset>5163820</wp:posOffset>
                </wp:positionV>
                <wp:extent cx="1237615" cy="838200"/>
                <wp:effectExtent l="0" t="1270" r="3175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838200"/>
                        </a:xfrm>
                        <a:prstGeom prst="rect">
                          <a:avLst/>
                        </a:prstGeom>
                        <a:solidFill>
                          <a:srgbClr val="1B0D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79.8pt;margin-top:406.6pt;width:97.4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" fillcolor="#1b0d08" stroked="f">
                <w10:wrap anchorx="page" anchory="page"/>
              </v:rect>
            </w:pict>
          </mc:Fallback>
        </mc:AlternateContent>
      </w:r>
    </w:p>
    <w:p w:rsidR="00D87962" w:rsidRDefault="00C91D88">
      <w:pPr>
        <w:pStyle w:val="10"/>
        <w:framePr w:w="9096" w:h="767" w:hRule="exact" w:wrap="none" w:vAnchor="page" w:hAnchor="page" w:x="1504" w:y="287"/>
        <w:shd w:val="clear" w:color="auto" w:fill="auto"/>
        <w:spacing w:after="0" w:line="340" w:lineRule="exact"/>
        <w:ind w:left="40"/>
      </w:pPr>
      <w:bookmarkStart w:id="0" w:name="bookmark0"/>
      <w:r>
        <w:rPr>
          <w:rStyle w:val="11"/>
          <w:b/>
          <w:bCs/>
        </w:rPr>
        <w:t>Памятка</w:t>
      </w:r>
      <w:bookmarkEnd w:id="0"/>
    </w:p>
    <w:p w:rsidR="00D87962" w:rsidRDefault="00C91D88">
      <w:pPr>
        <w:pStyle w:val="10"/>
        <w:framePr w:w="9096" w:h="767" w:hRule="exact" w:wrap="none" w:vAnchor="page" w:hAnchor="page" w:x="1504" w:y="287"/>
        <w:shd w:val="clear" w:color="auto" w:fill="auto"/>
        <w:spacing w:after="0" w:line="340" w:lineRule="exact"/>
        <w:jc w:val="left"/>
      </w:pPr>
      <w:bookmarkStart w:id="1" w:name="bookmark1"/>
      <w:r>
        <w:rPr>
          <w:rStyle w:val="11"/>
          <w:b/>
          <w:bCs/>
        </w:rPr>
        <w:t>населению по подготовке к началу отопительного периода</w:t>
      </w:r>
      <w:bookmarkEnd w:id="1"/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ind w:left="4" w:firstLine="760"/>
      </w:pPr>
      <w:r>
        <w:rPr>
          <w:rStyle w:val="21"/>
        </w:rPr>
        <w:t>С наступлением осенне-зимнего периода во много раз возрастает вероятность</w:t>
      </w:r>
      <w:r>
        <w:rPr>
          <w:rStyle w:val="21"/>
        </w:rPr>
        <w:br/>
        <w:t xml:space="preserve">возникновения пожаров, </w:t>
      </w:r>
      <w:r>
        <w:rPr>
          <w:rStyle w:val="22"/>
        </w:rPr>
        <w:t>основными причинами которых являются:</w:t>
      </w:r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ind w:left="2100"/>
        <w:jc w:val="left"/>
      </w:pPr>
      <w:r>
        <w:rPr>
          <w:rStyle w:val="23"/>
        </w:rPr>
        <w:t>-</w:t>
      </w:r>
      <w:r>
        <w:rPr>
          <w:rStyle w:val="21"/>
        </w:rPr>
        <w:t xml:space="preserve"> нарушение правил пожарной безопасности при эксплуатации отопительных</w:t>
      </w:r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ind w:left="2100" w:firstLine="0"/>
        <w:jc w:val="left"/>
      </w:pPr>
      <w:r>
        <w:rPr>
          <w:rStyle w:val="21"/>
        </w:rPr>
        <w:t>приборов и печей;</w:t>
      </w:r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ind w:left="2100" w:firstLine="840"/>
        <w:jc w:val="left"/>
      </w:pPr>
      <w:r>
        <w:rPr>
          <w:rStyle w:val="21"/>
        </w:rPr>
        <w:t>- нарушение правил монтажа и эксплуатации электрических</w:t>
      </w:r>
      <w:r>
        <w:rPr>
          <w:rStyle w:val="21"/>
        </w:rPr>
        <w:br/>
        <w:t>сетей, электроустановок и электроприборов.</w:t>
      </w:r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ind w:left="2073" w:firstLine="2840"/>
        <w:jc w:val="left"/>
      </w:pPr>
      <w:r>
        <w:rPr>
          <w:rStyle w:val="21"/>
        </w:rPr>
        <w:t>В целях недопущения и предотвращения возможных пожаров в</w:t>
      </w:r>
      <w:r>
        <w:rPr>
          <w:rStyle w:val="21"/>
        </w:rPr>
        <w:br/>
      </w:r>
      <w:r>
        <w:rPr>
          <w:rStyle w:val="21"/>
        </w:rPr>
        <w:t>осенне-зимний период времени необходимо соблюдать (выполнять)</w:t>
      </w:r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ind w:firstLine="0"/>
        <w:jc w:val="left"/>
      </w:pPr>
      <w:r>
        <w:rPr>
          <w:rStyle w:val="21"/>
        </w:rPr>
        <w:t>следующие элементарные правила пожарной безопасности:</w:t>
      </w:r>
    </w:p>
    <w:p w:rsidR="00D87962" w:rsidRDefault="00C91D88">
      <w:pPr>
        <w:pStyle w:val="20"/>
        <w:framePr w:w="10685" w:h="15164" w:hRule="exact" w:wrap="none" w:vAnchor="page" w:hAnchor="page" w:x="674" w:y="1319"/>
        <w:numPr>
          <w:ilvl w:val="0"/>
          <w:numId w:val="1"/>
        </w:numPr>
        <w:shd w:val="clear" w:color="auto" w:fill="auto"/>
        <w:tabs>
          <w:tab w:val="left" w:pos="994"/>
        </w:tabs>
        <w:spacing w:line="317" w:lineRule="exact"/>
        <w:ind w:firstLine="760"/>
      </w:pPr>
      <w:r>
        <w:rPr>
          <w:rStyle w:val="22"/>
        </w:rPr>
        <w:t>перед началом отопительного периода</w:t>
      </w:r>
      <w:r>
        <w:rPr>
          <w:rStyle w:val="24"/>
        </w:rPr>
        <w:t xml:space="preserve"> </w:t>
      </w:r>
      <w:r>
        <w:rPr>
          <w:rStyle w:val="21"/>
        </w:rPr>
        <w:t>провести проверку и при</w:t>
      </w:r>
      <w:r>
        <w:rPr>
          <w:rStyle w:val="21"/>
        </w:rPr>
        <w:br/>
        <w:t>необходимости ремонт дымоходов, отопительных печей, котельных, других</w:t>
      </w:r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tabs>
          <w:tab w:val="left" w:pos="994"/>
        </w:tabs>
        <w:spacing w:line="317" w:lineRule="exact"/>
        <w:ind w:right="2078" w:firstLine="0"/>
      </w:pPr>
      <w:r>
        <w:rPr>
          <w:rStyle w:val="21"/>
        </w:rPr>
        <w:t>отопительн</w:t>
      </w:r>
      <w:r>
        <w:rPr>
          <w:rStyle w:val="21"/>
        </w:rPr>
        <w:t>ых приборов и систем;</w:t>
      </w:r>
    </w:p>
    <w:p w:rsidR="00D87962" w:rsidRDefault="00C91D88">
      <w:pPr>
        <w:pStyle w:val="20"/>
        <w:framePr w:w="10685" w:h="15164" w:hRule="exact" w:wrap="none" w:vAnchor="page" w:hAnchor="page" w:x="674" w:y="1319"/>
        <w:numPr>
          <w:ilvl w:val="0"/>
          <w:numId w:val="1"/>
        </w:numPr>
        <w:shd w:val="clear" w:color="auto" w:fill="auto"/>
        <w:tabs>
          <w:tab w:val="left" w:pos="1003"/>
        </w:tabs>
        <w:spacing w:after="236" w:line="317" w:lineRule="exact"/>
        <w:ind w:right="2120" w:firstLine="760"/>
      </w:pPr>
      <w:r>
        <w:rPr>
          <w:rStyle w:val="21"/>
        </w:rPr>
        <w:t>печи и другие отопительные приборы должны иметь</w:t>
      </w:r>
      <w:r>
        <w:rPr>
          <w:rStyle w:val="21"/>
        </w:rPr>
        <w:br/>
        <w:t>установленные нормами противопожарные разделки (отступки) от</w:t>
      </w:r>
      <w:r>
        <w:rPr>
          <w:rStyle w:val="21"/>
        </w:rPr>
        <w:br/>
        <w:t>горючих конструкций, а также предтопочный лист размером не менее</w:t>
      </w:r>
      <w:r>
        <w:rPr>
          <w:rStyle w:val="21"/>
        </w:rPr>
        <w:br/>
        <w:t>0,5 х 0,7 м без прогаров и повреждений;</w:t>
      </w:r>
    </w:p>
    <w:p w:rsidR="00D87962" w:rsidRDefault="00C91D88">
      <w:pPr>
        <w:pStyle w:val="26"/>
        <w:framePr w:w="10685" w:h="15164" w:hRule="exact" w:wrap="none" w:vAnchor="page" w:hAnchor="page" w:x="674" w:y="1319"/>
        <w:shd w:val="clear" w:color="auto" w:fill="auto"/>
        <w:spacing w:before="0"/>
        <w:ind w:right="220"/>
      </w:pPr>
      <w:bookmarkStart w:id="2" w:name="bookmark2"/>
      <w:r>
        <w:rPr>
          <w:rStyle w:val="27"/>
          <w:b/>
          <w:bCs/>
          <w:i/>
          <w:iCs/>
        </w:rPr>
        <w:t>При эксплуатации ото</w:t>
      </w:r>
      <w:r>
        <w:rPr>
          <w:rStyle w:val="27"/>
          <w:b/>
          <w:bCs/>
          <w:i/>
          <w:iCs/>
        </w:rPr>
        <w:t>пительных приборов и электроприборов придерживайтесь</w:t>
      </w:r>
      <w:bookmarkEnd w:id="2"/>
    </w:p>
    <w:p w:rsidR="00D87962" w:rsidRDefault="00C91D88">
      <w:pPr>
        <w:pStyle w:val="26"/>
        <w:framePr w:w="10685" w:h="15164" w:hRule="exact" w:wrap="none" w:vAnchor="page" w:hAnchor="page" w:x="674" w:y="1319"/>
        <w:shd w:val="clear" w:color="auto" w:fill="auto"/>
        <w:spacing w:before="0"/>
        <w:ind w:left="40" w:right="148"/>
        <w:jc w:val="center"/>
      </w:pPr>
      <w:bookmarkStart w:id="3" w:name="bookmark3"/>
      <w:r>
        <w:rPr>
          <w:rStyle w:val="27"/>
          <w:b/>
          <w:bCs/>
          <w:i/>
          <w:iCs/>
        </w:rPr>
        <w:t>следующих правил:</w:t>
      </w:r>
      <w:bookmarkEnd w:id="3"/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ind w:right="1180" w:firstLine="760"/>
        <w:jc w:val="left"/>
      </w:pPr>
      <w:r>
        <w:rPr>
          <w:rStyle w:val="213pt"/>
        </w:rPr>
        <w:t xml:space="preserve">о </w:t>
      </w:r>
      <w:r>
        <w:rPr>
          <w:rStyle w:val="21"/>
        </w:rPr>
        <w:t>не эксплуатируйте неисправные печи и другие отопительные приборы;</w:t>
      </w:r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ind w:right="1180" w:firstLine="0"/>
        <w:jc w:val="left"/>
      </w:pPr>
      <w:r>
        <w:rPr>
          <w:rStyle w:val="213pt"/>
        </w:rPr>
        <w:t xml:space="preserve">о </w:t>
      </w:r>
      <w:r>
        <w:rPr>
          <w:rStyle w:val="21"/>
        </w:rPr>
        <w:t>не допускайте эксплуатацию газовых приборов при утечке газа;</w:t>
      </w:r>
      <w:r>
        <w:rPr>
          <w:rStyle w:val="21"/>
        </w:rPr>
        <w:br/>
      </w:r>
      <w:r>
        <w:rPr>
          <w:rStyle w:val="213pt"/>
        </w:rPr>
        <w:t xml:space="preserve">о </w:t>
      </w:r>
      <w:r>
        <w:rPr>
          <w:rStyle w:val="21"/>
        </w:rPr>
        <w:t xml:space="preserve">не оставляйте без присмотра топящиеся печи, а также </w:t>
      </w:r>
      <w:r>
        <w:rPr>
          <w:rStyle w:val="21"/>
        </w:rPr>
        <w:t>не</w:t>
      </w:r>
      <w:r>
        <w:rPr>
          <w:rStyle w:val="21"/>
        </w:rPr>
        <w:br/>
        <w:t>поручайте надзор за ними малолетним детям;</w:t>
      </w:r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ind w:right="1980" w:firstLine="760"/>
        <w:jc w:val="left"/>
      </w:pPr>
      <w:r>
        <w:rPr>
          <w:rStyle w:val="213pt"/>
        </w:rPr>
        <w:t xml:space="preserve">о </w:t>
      </w:r>
      <w:r>
        <w:rPr>
          <w:rStyle w:val="21"/>
        </w:rPr>
        <w:t>не располагайте топливо, другие горючие вещества и</w:t>
      </w:r>
      <w:r>
        <w:rPr>
          <w:rStyle w:val="21"/>
        </w:rPr>
        <w:br/>
        <w:t>материалы на предтопочном листе;</w:t>
      </w:r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ind w:right="4" w:firstLine="760"/>
      </w:pPr>
      <w:r>
        <w:rPr>
          <w:rStyle w:val="213pt"/>
        </w:rPr>
        <w:t xml:space="preserve">о </w:t>
      </w:r>
      <w:r>
        <w:rPr>
          <w:rStyle w:val="21"/>
        </w:rPr>
        <w:t>не применяйте для розжига печей бензин, керосин, дизельное топливо и другие</w:t>
      </w:r>
      <w:r>
        <w:rPr>
          <w:rStyle w:val="21"/>
        </w:rPr>
        <w:br/>
        <w:t>легковоспламеняющиеся и горючие жидкости;</w:t>
      </w:r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ind w:right="4" w:firstLine="760"/>
      </w:pPr>
      <w:r>
        <w:rPr>
          <w:rStyle w:val="213pt"/>
        </w:rPr>
        <w:t xml:space="preserve">о </w:t>
      </w:r>
      <w:r>
        <w:rPr>
          <w:rStyle w:val="21"/>
        </w:rPr>
        <w:t>не</w:t>
      </w:r>
      <w:r>
        <w:rPr>
          <w:rStyle w:val="21"/>
        </w:rPr>
        <w:t xml:space="preserve"> топите углем, коксом и газом печи, не предназначенные для этих видов</w:t>
      </w:r>
      <w:r>
        <w:rPr>
          <w:rStyle w:val="21"/>
        </w:rPr>
        <w:br/>
        <w:t>топлива;</w:t>
      </w:r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ind w:right="4" w:firstLine="760"/>
      </w:pPr>
      <w:r>
        <w:rPr>
          <w:rStyle w:val="213pt"/>
        </w:rPr>
        <w:t xml:space="preserve">о </w:t>
      </w:r>
      <w:r>
        <w:rPr>
          <w:rStyle w:val="21"/>
        </w:rPr>
        <w:t>не используйте вентиляционные и газовые каналы в качестве дымоходов;</w:t>
      </w:r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ind w:firstLine="2940"/>
        <w:jc w:val="left"/>
      </w:pPr>
      <w:r>
        <w:rPr>
          <w:rStyle w:val="213pt"/>
        </w:rPr>
        <w:t xml:space="preserve">о </w:t>
      </w:r>
      <w:r>
        <w:rPr>
          <w:rStyle w:val="21"/>
        </w:rPr>
        <w:t>не допускайте перекаливание печей;</w:t>
      </w:r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ind w:left="2220" w:firstLine="720"/>
        <w:jc w:val="left"/>
      </w:pPr>
      <w:r>
        <w:rPr>
          <w:rStyle w:val="213pt"/>
        </w:rPr>
        <w:t xml:space="preserve">о </w:t>
      </w:r>
      <w:r>
        <w:rPr>
          <w:rStyle w:val="21"/>
        </w:rPr>
        <w:t>не устанавливайте и не используйте металлические печи</w:t>
      </w:r>
      <w:r>
        <w:rPr>
          <w:rStyle w:val="21"/>
        </w:rPr>
        <w:br/>
        <w:t xml:space="preserve">(буржуйки), </w:t>
      </w:r>
      <w:r>
        <w:rPr>
          <w:rStyle w:val="21"/>
        </w:rPr>
        <w:t>не отвечающие требованиям пожарной безопасности;</w:t>
      </w:r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ind w:firstLine="2940"/>
        <w:jc w:val="left"/>
      </w:pPr>
      <w:r>
        <w:rPr>
          <w:rStyle w:val="213pt"/>
        </w:rPr>
        <w:t xml:space="preserve">о </w:t>
      </w:r>
      <w:r>
        <w:rPr>
          <w:rStyle w:val="21"/>
        </w:rPr>
        <w:t>не допускайте использование электрических изделий,</w:t>
      </w:r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ind w:left="2188" w:firstLine="0"/>
        <w:jc w:val="left"/>
      </w:pPr>
      <w:r>
        <w:rPr>
          <w:rStyle w:val="21"/>
        </w:rPr>
        <w:t>электроприборов и электрооборудования, не</w:t>
      </w:r>
      <w:r>
        <w:rPr>
          <w:rStyle w:val="21"/>
        </w:rPr>
        <w:br/>
        <w:t>соответствующих требованиям инструкций организаций-</w:t>
      </w:r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ind w:left="4" w:firstLine="0"/>
        <w:jc w:val="left"/>
      </w:pPr>
      <w:r>
        <w:rPr>
          <w:rStyle w:val="21"/>
        </w:rPr>
        <w:t>изготовителей, или имеющих неисправности, которые в соответс</w:t>
      </w:r>
      <w:r>
        <w:rPr>
          <w:rStyle w:val="21"/>
        </w:rPr>
        <w:t>твии с</w:t>
      </w:r>
      <w:r>
        <w:rPr>
          <w:rStyle w:val="21"/>
        </w:rPr>
        <w:br/>
        <w:t>инструкцией по эксплуатации могут привести к пожару;</w:t>
      </w:r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ind w:left="4" w:firstLine="760"/>
        <w:jc w:val="left"/>
      </w:pPr>
      <w:r>
        <w:rPr>
          <w:rStyle w:val="213pt"/>
        </w:rPr>
        <w:t xml:space="preserve">о </w:t>
      </w:r>
      <w:r>
        <w:rPr>
          <w:rStyle w:val="21"/>
        </w:rPr>
        <w:t>не эксплуатируйте электропровода и кабели с поврежденной или</w:t>
      </w:r>
      <w:r>
        <w:rPr>
          <w:rStyle w:val="21"/>
        </w:rPr>
        <w:br/>
        <w:t>потерявшей защитные свойства изоляцией;</w:t>
      </w:r>
    </w:p>
    <w:p w:rsidR="00D87962" w:rsidRDefault="00C91D88">
      <w:pPr>
        <w:pStyle w:val="20"/>
        <w:framePr w:w="10685" w:h="15164" w:hRule="exact" w:wrap="none" w:vAnchor="page" w:hAnchor="page" w:x="674" w:y="1319"/>
        <w:shd w:val="clear" w:color="auto" w:fill="auto"/>
        <w:spacing w:after="240"/>
        <w:ind w:right="220" w:firstLine="0"/>
        <w:jc w:val="right"/>
      </w:pPr>
      <w:r>
        <w:rPr>
          <w:rStyle w:val="213pt"/>
        </w:rPr>
        <w:t xml:space="preserve">о </w:t>
      </w:r>
      <w:r>
        <w:rPr>
          <w:rStyle w:val="21"/>
        </w:rPr>
        <w:t>не применяйте нестандартные (самодельные) электронагревательные приборы.</w:t>
      </w:r>
    </w:p>
    <w:p w:rsidR="00D87962" w:rsidRDefault="00C91D88">
      <w:pPr>
        <w:pStyle w:val="30"/>
        <w:framePr w:w="10685" w:h="15164" w:hRule="exact" w:wrap="none" w:vAnchor="page" w:hAnchor="page" w:x="674" w:y="1319"/>
        <w:shd w:val="clear" w:color="auto" w:fill="auto"/>
        <w:spacing w:before="0"/>
        <w:ind w:right="220"/>
      </w:pPr>
      <w:r>
        <w:rPr>
          <w:rStyle w:val="31"/>
          <w:b/>
          <w:bCs/>
        </w:rPr>
        <w:t xml:space="preserve">Жители и гости </w:t>
      </w:r>
      <w:r>
        <w:rPr>
          <w:rStyle w:val="31"/>
          <w:b/>
          <w:bCs/>
        </w:rPr>
        <w:t>района помните, что пожар легче предупредить, чем потушить.</w:t>
      </w:r>
    </w:p>
    <w:p w:rsidR="00D87962" w:rsidRDefault="00C91D88">
      <w:pPr>
        <w:pStyle w:val="30"/>
        <w:framePr w:w="10685" w:h="15164" w:hRule="exact" w:wrap="none" w:vAnchor="page" w:hAnchor="page" w:x="674" w:y="1319"/>
        <w:shd w:val="clear" w:color="auto" w:fill="auto"/>
        <w:spacing w:before="0"/>
        <w:ind w:left="1176" w:right="9"/>
        <w:jc w:val="center"/>
      </w:pPr>
      <w:r>
        <w:rPr>
          <w:rStyle w:val="32"/>
          <w:b/>
          <w:bCs/>
        </w:rPr>
        <w:t>При возникновения пожара</w:t>
      </w:r>
    </w:p>
    <w:p w:rsidR="00D87962" w:rsidRDefault="00C91D88">
      <w:pPr>
        <w:pStyle w:val="30"/>
        <w:framePr w:w="10685" w:h="15164" w:hRule="exact" w:wrap="none" w:vAnchor="page" w:hAnchor="page" w:x="674" w:y="1319"/>
        <w:shd w:val="clear" w:color="auto" w:fill="auto"/>
        <w:spacing w:before="0" w:after="273"/>
        <w:ind w:left="1176" w:right="9"/>
        <w:jc w:val="center"/>
      </w:pPr>
      <w:r>
        <w:rPr>
          <w:rStyle w:val="32"/>
          <w:b/>
          <w:bCs/>
        </w:rPr>
        <w:t>немедленно звоните по телефону «101» или с мобильного - «112»</w:t>
      </w:r>
      <w:r>
        <w:t>.</w:t>
      </w:r>
    </w:p>
    <w:p w:rsidR="00D87962" w:rsidRDefault="00597792">
      <w:pPr>
        <w:framePr w:wrap="none" w:vAnchor="page" w:hAnchor="page" w:x="10154" w:y="12381"/>
        <w:rPr>
          <w:sz w:val="2"/>
          <w:szCs w:val="2"/>
        </w:rPr>
      </w:pPr>
      <w:bookmarkStart w:id="4" w:name="_GoBack"/>
      <w:bookmarkEnd w:id="4"/>
      <w:r>
        <w:rPr>
          <w:noProof/>
          <w:lang w:bidi="ar-SA"/>
        </w:rPr>
        <w:drawing>
          <wp:inline distT="0" distB="0" distL="0" distR="0">
            <wp:extent cx="1104900" cy="1143000"/>
            <wp:effectExtent l="0" t="0" r="0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62" w:rsidRDefault="00597792">
      <w:pPr>
        <w:framePr w:wrap="none" w:vAnchor="page" w:hAnchor="page" w:x="487" w:y="1116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32560" cy="1082040"/>
            <wp:effectExtent l="0" t="0" r="0" b="3810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62" w:rsidRDefault="00597792">
      <w:pPr>
        <w:framePr w:wrap="none" w:vAnchor="page" w:hAnchor="page" w:x="9597" w:y="81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34440" cy="838200"/>
            <wp:effectExtent l="0" t="0" r="3810" b="0"/>
            <wp:docPr id="4" name="Рисунок 4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62" w:rsidRDefault="00597792">
      <w:pPr>
        <w:framePr w:wrap="none" w:vAnchor="page" w:hAnchor="page" w:x="9439" w:y="49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48740" cy="990600"/>
            <wp:effectExtent l="0" t="0" r="3810" b="0"/>
            <wp:docPr id="5" name="Рисунок 5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62" w:rsidRDefault="00597792">
      <w:pPr>
        <w:framePr w:wrap="none" w:vAnchor="page" w:hAnchor="page" w:x="578" w:y="243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95400" cy="967740"/>
            <wp:effectExtent l="0" t="0" r="0" b="3810"/>
            <wp:docPr id="6" name="Рисунок 6" descr="C:\Users\Us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62" w:rsidRDefault="00D87962">
      <w:pPr>
        <w:rPr>
          <w:sz w:val="2"/>
          <w:szCs w:val="2"/>
        </w:rPr>
      </w:pPr>
    </w:p>
    <w:sectPr w:rsidR="00D8796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88" w:rsidRDefault="00C91D88">
      <w:r>
        <w:separator/>
      </w:r>
    </w:p>
  </w:endnote>
  <w:endnote w:type="continuationSeparator" w:id="0">
    <w:p w:rsidR="00C91D88" w:rsidRDefault="00C9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88" w:rsidRDefault="00C91D88"/>
  </w:footnote>
  <w:footnote w:type="continuationSeparator" w:id="0">
    <w:p w:rsidR="00C91D88" w:rsidRDefault="00C91D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1EA6"/>
    <w:multiLevelType w:val="multilevel"/>
    <w:tmpl w:val="DA1AB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62"/>
    <w:rsid w:val="00597792"/>
    <w:rsid w:val="00C91D88"/>
    <w:rsid w:val="00D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Georgia" w:eastAsia="Georgia" w:hAnsi="Georgia" w:cs="Georgi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2">
    <w:name w:val="Заголовок №2 (2)"/>
    <w:basedOn w:val="22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line="0" w:lineRule="atLeast"/>
      <w:jc w:val="right"/>
      <w:outlineLvl w:val="1"/>
    </w:pPr>
    <w:rPr>
      <w:rFonts w:ascii="Georgia" w:eastAsia="Georgia" w:hAnsi="Georgia" w:cs="Georg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Georgia" w:eastAsia="Georgia" w:hAnsi="Georgia" w:cs="Georgi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2">
    <w:name w:val="Заголовок №2 (2)"/>
    <w:basedOn w:val="22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line="0" w:lineRule="atLeast"/>
      <w:jc w:val="right"/>
      <w:outlineLvl w:val="1"/>
    </w:pPr>
    <w:rPr>
      <w:rFonts w:ascii="Georgia" w:eastAsia="Georgia" w:hAnsi="Georgia" w:cs="Georg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2022-09-21T11:36:00Z</dcterms:created>
  <dcterms:modified xsi:type="dcterms:W3CDTF">2022-09-21T11:38:00Z</dcterms:modified>
</cp:coreProperties>
</file>