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Название объекта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Название объекта"/>
        <w:rPr>
          <w:sz w:val="24"/>
          <w:szCs w:val="24"/>
        </w:rPr>
      </w:pPr>
      <w: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 О Б Р А Н И Е           Д Е П У Т А Т О В</w:t>
      </w:r>
    </w:p>
    <w:p>
      <w:pPr>
        <w:pStyle w:val="Заголовок 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 А К С А Т И Х И Н С К О Г О       Р А Й О Н А</w:t>
      </w:r>
    </w:p>
    <w:p>
      <w:pPr>
        <w:pStyle w:val="Название объекта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Т В Е Р С К О Й О Б Л А С Т И </w:t>
      </w: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125729</wp:posOffset>
                </wp:positionV>
                <wp:extent cx="3429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0pt;margin-top:9.9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РЕШЕНИЕ    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onsPlusNormal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rtl w:val="0"/>
          <w:lang w:val="en-US"/>
        </w:rPr>
        <w:t>26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.06.2019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en-US"/>
        </w:rPr>
        <w:t>61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внесении изменений и дополнений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решение Собрания депутатов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Максатихинского района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30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25.12.2018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бюджете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Максатихинского района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 и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плановый период на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P16" w:id="0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Внести в решение Собрания депутатов Максатихинского района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25.12.2018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бюджете Максатихинского района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изменениями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внесенными решением Собрания депутатов Максатихинского района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24.01.2019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27.02.2019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02.04.2019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>1: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Утвердить основные характеристики бюджета муниципального образования Тверской области «Максатихинский район»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местный бюджет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доходов местного бюджета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>375305,08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объем расходов местного бюджета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387723,55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дефицит местного бюджета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12418,47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left="57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«Утвердить объем межбюджетных трансфертов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получаемых из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272072,48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191289,5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181742,2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numPr>
          <w:ilvl w:val="0"/>
          <w:numId w:val="3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«Источники финансирования дефицита местного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«Прогнозируемые доходы местного бюджета  по группам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подгруппам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статьям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подстатьям и элементам доходов классификации доходов бюджетов Российской Федерации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«Распределение бюджетных ассигнований местного бюджета по разделам и подразделам классификации расходов бюджетов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«Распределение бюджетных ассигнований местного бюджета по 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целевым статьям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группам видов расходов классификации расходов бюджетов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«Ведомственную структуру расходов местного бюджета по главным распорядителям бюджетных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подразделам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целевым статьям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муниципальным программам и непрограммным направлениям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группам видов расходов классификации расходов бюджетов 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«Распределение бюджетных ассигнований по целевым статьям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муниципальным программам Тверской области и непрограммным направлениям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группам  видов расходов классификации расходов бюджета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«в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25136,67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 заменить словами «в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25228,07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изложить в новой редакции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осуществление переданных полномочий Российской Федерации на  государственную регистрацию актов гражданского состояния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1364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490,0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507,3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.;       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слова «в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22371,0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заменить словами «в сумме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23141,75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Решение вступает в силу с даты подписания и распространяется на правоотношения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возникшие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P426" w:id="1"/>
      <w:bookmarkEnd w:id="1"/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Глава Максатихинского района                                                  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Паскин        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Председатель Собрания </w:t>
      </w:r>
    </w:p>
    <w:p>
      <w:pPr>
        <w:pStyle w:val="ConsPlusNormal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депутатов   Максатихинского района                                         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Кошкаров</w:t>
      </w:r>
    </w:p>
    <w:sectPr>
      <w:headerReference w:type="default" r:id="rId5"/>
      <w:footerReference w:type="default" r:id="rId6"/>
      <w:pgSz w:w="11900" w:h="16840" w:orient="portrait"/>
      <w:pgMar w:top="1134" w:right="848" w:bottom="1134" w:left="85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30"/>
        </w:tabs>
        <w:ind w:left="1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30"/>
        </w:tabs>
        <w:ind w:left="237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30"/>
        </w:tabs>
        <w:ind w:left="3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30"/>
        </w:tabs>
        <w:ind w:left="3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30"/>
        </w:tabs>
        <w:ind w:left="453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30"/>
        </w:tabs>
        <w:ind w:left="5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30"/>
        </w:tabs>
        <w:ind w:left="5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30"/>
        </w:tabs>
        <w:ind w:left="669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84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290"/>
          </w:tabs>
          <w:ind w:left="72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10"/>
          </w:tabs>
          <w:ind w:left="1440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30"/>
          </w:tabs>
          <w:ind w:left="216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450"/>
          </w:tabs>
          <w:ind w:left="288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170"/>
          </w:tabs>
          <w:ind w:left="3600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90"/>
          </w:tabs>
          <w:ind w:left="432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10"/>
          </w:tabs>
          <w:ind w:left="5040" w:firstLine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30"/>
          </w:tabs>
          <w:ind w:left="5760" w:firstLine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